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30" w:rsidRDefault="00104030" w:rsidP="00104030">
      <w:pPr>
        <w:ind w:left="-993"/>
        <w:rPr>
          <w:b/>
        </w:rPr>
      </w:pPr>
      <w:r>
        <w:rPr>
          <w:noProof/>
          <w:lang w:eastAsia="fr-CA"/>
        </w:rPr>
        <w:drawing>
          <wp:inline distT="0" distB="0" distL="0" distR="0" wp14:anchorId="0FBCF769" wp14:editId="55A2F0CD">
            <wp:extent cx="2214880" cy="639445"/>
            <wp:effectExtent l="0" t="0" r="0" b="8255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C49" w:rsidRPr="00C74E4D" w:rsidRDefault="00913ECB" w:rsidP="00C74E4D">
      <w:pPr>
        <w:jc w:val="center"/>
        <w:rPr>
          <w:b/>
        </w:rPr>
      </w:pPr>
      <w:r w:rsidRPr="00C74E4D">
        <w:rPr>
          <w:b/>
        </w:rPr>
        <w:t xml:space="preserve">Procédure – Formulaire d’embauche – </w:t>
      </w:r>
      <w:proofErr w:type="spellStart"/>
      <w:r w:rsidR="00C74E4D">
        <w:rPr>
          <w:b/>
        </w:rPr>
        <w:t>Étudiant.e</w:t>
      </w:r>
      <w:proofErr w:type="spellEnd"/>
      <w:r w:rsidR="00C74E4D">
        <w:rPr>
          <w:b/>
        </w:rPr>
        <w:t xml:space="preserve"> de recherche</w:t>
      </w:r>
    </w:p>
    <w:p w:rsidR="00913ECB" w:rsidRDefault="00913ECB">
      <w:r>
        <w:t>Accédez au formulaire en vous rendant sur le site des ressources humaines :</w:t>
      </w:r>
    </w:p>
    <w:p w:rsidR="00913ECB" w:rsidRDefault="00640B4B">
      <w:hyperlink r:id="rId8" w:history="1">
        <w:r w:rsidR="00913ECB" w:rsidRPr="00AE1E5D">
          <w:rPr>
            <w:rStyle w:val="Lienhypertexte"/>
          </w:rPr>
          <w:t>https://www.rhu.uqam.ca</w:t>
        </w:r>
      </w:hyperlink>
    </w:p>
    <w:p w:rsidR="00913ECB" w:rsidRDefault="00913ECB">
      <w:r w:rsidRPr="00913ECB">
        <w:rPr>
          <w:noProof/>
          <w:lang w:eastAsia="fr-CA"/>
        </w:rPr>
        <w:drawing>
          <wp:inline distT="0" distB="0" distL="0" distR="0" wp14:anchorId="3C916F57" wp14:editId="500F3DCC">
            <wp:extent cx="4081626" cy="1104807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3869" cy="111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11">
        <w:t xml:space="preserve">     </w:t>
      </w:r>
      <w:r w:rsidR="00E15511" w:rsidRPr="00E15511">
        <w:rPr>
          <w:b/>
        </w:rPr>
        <w:t>Cliquer sur « Intranet RH »</w:t>
      </w:r>
    </w:p>
    <w:p w:rsidR="00913ECB" w:rsidRDefault="00913ECB">
      <w:r w:rsidRPr="00913ECB">
        <w:rPr>
          <w:noProof/>
          <w:lang w:eastAsia="fr-CA"/>
        </w:rPr>
        <w:drawing>
          <wp:inline distT="0" distB="0" distL="0" distR="0" wp14:anchorId="607B5D15" wp14:editId="099D9AA1">
            <wp:extent cx="3315163" cy="274358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511">
        <w:rPr>
          <w:b/>
        </w:rPr>
        <w:t>Sélectionner « Outils gestionnaire »</w:t>
      </w:r>
    </w:p>
    <w:p w:rsidR="00913ECB" w:rsidRPr="00E15511" w:rsidRDefault="00913ECB">
      <w:pPr>
        <w:rPr>
          <w:b/>
        </w:rPr>
      </w:pPr>
      <w:r w:rsidRPr="00913ECB">
        <w:rPr>
          <w:noProof/>
          <w:lang w:eastAsia="fr-CA"/>
        </w:rPr>
        <w:drawing>
          <wp:inline distT="0" distB="0" distL="0" distR="0" wp14:anchorId="01434292" wp14:editId="0DD6BC7D">
            <wp:extent cx="2753109" cy="1971950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Pr="00E15511">
        <w:rPr>
          <w:b/>
        </w:rPr>
        <w:t>Sélectionner « Formulaire Embauche »</w:t>
      </w:r>
    </w:p>
    <w:p w:rsidR="00E15511" w:rsidRDefault="00E15511"/>
    <w:p w:rsidR="00E15511" w:rsidRDefault="00E15511"/>
    <w:p w:rsidR="00E15511" w:rsidRDefault="00913ECB">
      <w:pPr>
        <w:rPr>
          <w:b/>
        </w:rPr>
      </w:pPr>
      <w:r w:rsidRPr="00913ECB">
        <w:rPr>
          <w:noProof/>
          <w:lang w:eastAsia="fr-CA"/>
        </w:rPr>
        <w:lastRenderedPageBreak/>
        <w:drawing>
          <wp:inline distT="0" distB="0" distL="0" distR="0" wp14:anchorId="18DB67C0" wp14:editId="1BA67CB3">
            <wp:extent cx="4048760" cy="1938722"/>
            <wp:effectExtent l="0" t="0" r="889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0677" cy="194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11" w:rsidRPr="0019140C">
        <w:rPr>
          <w:b/>
        </w:rPr>
        <w:t>Cliquer sur « Formulaire d’embauche »</w:t>
      </w:r>
    </w:p>
    <w:p w:rsidR="0019140C" w:rsidRPr="0019140C" w:rsidRDefault="0019140C">
      <w:pPr>
        <w:rPr>
          <w:b/>
        </w:rPr>
      </w:pPr>
    </w:p>
    <w:p w:rsidR="00640B4B" w:rsidRDefault="0019140C" w:rsidP="00640B4B">
      <w:pPr>
        <w:spacing w:after="0" w:line="240" w:lineRule="auto"/>
      </w:pPr>
      <w:r w:rsidRPr="0019140C">
        <w:rPr>
          <w:noProof/>
          <w:lang w:eastAsia="fr-CA"/>
        </w:rPr>
        <w:drawing>
          <wp:inline distT="0" distB="0" distL="0" distR="0" wp14:anchorId="60524117" wp14:editId="411D9C03">
            <wp:extent cx="5972810" cy="4152265"/>
            <wp:effectExtent l="0" t="0" r="889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40B4B" w:rsidRDefault="00640B4B" w:rsidP="00640B4B">
      <w:pPr>
        <w:spacing w:after="0" w:line="240" w:lineRule="auto"/>
      </w:pPr>
    </w:p>
    <w:p w:rsidR="00E15511" w:rsidRDefault="00640B4B" w:rsidP="00640B4B">
      <w:pPr>
        <w:spacing w:after="0" w:line="240" w:lineRule="auto"/>
        <w:rPr>
          <w:b/>
        </w:rPr>
      </w:pPr>
      <w:bookmarkStart w:id="0" w:name="_GoBack"/>
      <w:r>
        <w:rPr>
          <w:b/>
        </w:rPr>
        <w:t>Voici la liste des numéros d’unité organisationnelle de l’ESG :</w:t>
      </w:r>
    </w:p>
    <w:p w:rsidR="00640B4B" w:rsidRPr="00640B4B" w:rsidRDefault="00640B4B" w:rsidP="00640B4B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2380 : </w:t>
      </w:r>
      <w:r w:rsidRPr="00640B4B">
        <w:rPr>
          <w:b/>
        </w:rPr>
        <w:t>Stratégie, responsabilité sociale et environnementale </w:t>
      </w:r>
    </w:p>
    <w:p w:rsidR="00640B4B" w:rsidRPr="00640B4B" w:rsidRDefault="00640B4B" w:rsidP="00640B4B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2013 : </w:t>
      </w:r>
      <w:r w:rsidRPr="00640B4B">
        <w:rPr>
          <w:b/>
        </w:rPr>
        <w:t>Organisation et ressources humaines </w:t>
      </w:r>
    </w:p>
    <w:p w:rsidR="00640B4B" w:rsidRPr="00640B4B" w:rsidRDefault="00640B4B" w:rsidP="00640B4B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2070 : </w:t>
      </w:r>
      <w:r w:rsidRPr="00640B4B">
        <w:rPr>
          <w:b/>
        </w:rPr>
        <w:t>Sciences économiques </w:t>
      </w:r>
    </w:p>
    <w:p w:rsidR="00640B4B" w:rsidRPr="00640B4B" w:rsidRDefault="00640B4B" w:rsidP="00640B4B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2200 : </w:t>
      </w:r>
      <w:r w:rsidRPr="00640B4B">
        <w:rPr>
          <w:b/>
        </w:rPr>
        <w:t>Sciences comptables </w:t>
      </w:r>
    </w:p>
    <w:p w:rsidR="00640B4B" w:rsidRDefault="00640B4B" w:rsidP="00ED5995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640B4B">
        <w:rPr>
          <w:b/>
        </w:rPr>
        <w:t>2310 : Études urbaines et touristiques </w:t>
      </w:r>
    </w:p>
    <w:p w:rsidR="00640B4B" w:rsidRPr="00640B4B" w:rsidRDefault="00640B4B" w:rsidP="00ED5995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2390 : </w:t>
      </w:r>
      <w:r w:rsidRPr="00640B4B">
        <w:rPr>
          <w:b/>
        </w:rPr>
        <w:t>Marketing </w:t>
      </w:r>
      <w:r>
        <w:rPr>
          <w:b/>
        </w:rPr>
        <w:t xml:space="preserve"> </w:t>
      </w:r>
    </w:p>
    <w:p w:rsidR="00640B4B" w:rsidRPr="00640B4B" w:rsidRDefault="00640B4B" w:rsidP="00640B4B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2440 : </w:t>
      </w:r>
      <w:r w:rsidRPr="00640B4B">
        <w:rPr>
          <w:b/>
        </w:rPr>
        <w:t>Management </w:t>
      </w:r>
    </w:p>
    <w:p w:rsidR="00640B4B" w:rsidRPr="00640B4B" w:rsidRDefault="00640B4B" w:rsidP="00640B4B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640B4B">
        <w:rPr>
          <w:b/>
        </w:rPr>
        <w:t>Finance : 2040</w:t>
      </w:r>
    </w:p>
    <w:p w:rsidR="00640B4B" w:rsidRPr="00640B4B" w:rsidRDefault="00640B4B" w:rsidP="00640B4B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2450 : </w:t>
      </w:r>
      <w:r w:rsidRPr="00640B4B">
        <w:rPr>
          <w:b/>
        </w:rPr>
        <w:t>Analytique, opérations et technologie de l’information</w:t>
      </w:r>
    </w:p>
    <w:bookmarkEnd w:id="0"/>
    <w:p w:rsidR="00640B4B" w:rsidRDefault="00640B4B">
      <w:pPr>
        <w:rPr>
          <w:b/>
        </w:rPr>
      </w:pPr>
    </w:p>
    <w:p w:rsidR="0019140C" w:rsidRDefault="0019140C">
      <w:pPr>
        <w:rPr>
          <w:b/>
        </w:rPr>
      </w:pPr>
      <w:r>
        <w:rPr>
          <w:b/>
        </w:rPr>
        <w:t>Sélectionner, dans la liste déroulante, le formulaire « Étudiant de recherche (S.O.R) » et cliquer sur « Afficher le formulaire »</w:t>
      </w:r>
    </w:p>
    <w:p w:rsidR="0019140C" w:rsidRDefault="0019140C">
      <w:pPr>
        <w:rPr>
          <w:b/>
        </w:rPr>
      </w:pPr>
    </w:p>
    <w:p w:rsidR="00F64606" w:rsidRDefault="00104030">
      <w:pPr>
        <w:rPr>
          <w:b/>
        </w:rPr>
      </w:pPr>
      <w:r w:rsidRPr="00104030">
        <w:rPr>
          <w:b/>
          <w:noProof/>
          <w:lang w:eastAsia="fr-CA"/>
        </w:rPr>
        <w:drawing>
          <wp:inline distT="0" distB="0" distL="0" distR="0" wp14:anchorId="5BCEBCCD" wp14:editId="35935383">
            <wp:extent cx="5971540" cy="71882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030" w:rsidRDefault="00104030">
      <w:pPr>
        <w:rPr>
          <w:b/>
        </w:rPr>
      </w:pPr>
      <w:r w:rsidRPr="00104030">
        <w:rPr>
          <w:b/>
          <w:noProof/>
          <w:lang w:eastAsia="fr-CA"/>
        </w:rPr>
        <w:drawing>
          <wp:inline distT="0" distB="0" distL="0" distR="0" wp14:anchorId="072A38E5" wp14:editId="4F00951B">
            <wp:extent cx="5971540" cy="64833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64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CA9" w:rsidRDefault="00976CA9"/>
    <w:p w:rsidR="00104030" w:rsidRDefault="00104030"/>
    <w:p w:rsidR="00976CA9" w:rsidRPr="00976CA9" w:rsidRDefault="00976CA9" w:rsidP="00976CA9">
      <w:pPr>
        <w:spacing w:after="0" w:line="240" w:lineRule="auto"/>
        <w:jc w:val="center"/>
        <w:rPr>
          <w:b/>
        </w:rPr>
      </w:pPr>
      <w:r w:rsidRPr="00976CA9">
        <w:rPr>
          <w:b/>
        </w:rPr>
        <w:t xml:space="preserve">Information complémentaires – Contrat </w:t>
      </w:r>
      <w:proofErr w:type="gramStart"/>
      <w:r w:rsidRPr="00976CA9">
        <w:rPr>
          <w:b/>
        </w:rPr>
        <w:t>d’</w:t>
      </w:r>
      <w:proofErr w:type="spellStart"/>
      <w:r w:rsidRPr="00976CA9">
        <w:rPr>
          <w:b/>
        </w:rPr>
        <w:t>étudiant.e</w:t>
      </w:r>
      <w:proofErr w:type="spellEnd"/>
      <w:proofErr w:type="gramEnd"/>
      <w:r w:rsidRPr="00976CA9">
        <w:rPr>
          <w:b/>
        </w:rPr>
        <w:t xml:space="preserve"> de recherche</w:t>
      </w:r>
    </w:p>
    <w:p w:rsidR="00976CA9" w:rsidRPr="00976CA9" w:rsidRDefault="00976CA9" w:rsidP="00976CA9">
      <w:pPr>
        <w:spacing w:after="0" w:line="240" w:lineRule="auto"/>
        <w:jc w:val="center"/>
        <w:rPr>
          <w:b/>
        </w:rPr>
      </w:pPr>
    </w:p>
    <w:p w:rsidR="00976CA9" w:rsidRDefault="00976CA9" w:rsidP="00976CA9">
      <w:pPr>
        <w:jc w:val="both"/>
      </w:pPr>
      <w:r>
        <w:t xml:space="preserve">Selon la convention collective des étudiants.es, la moyenne maximale d’heures de travail pour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r>
        <w:t>étudiant.e</w:t>
      </w:r>
      <w:proofErr w:type="spellEnd"/>
      <w:r>
        <w:t xml:space="preserve"> est de 15 heures par semaine pour les sessions d’automne et d’hiver. Pour la session d’été un étudiant peut travailler jusqu’à 35 heures par semaine.</w:t>
      </w:r>
    </w:p>
    <w:p w:rsidR="00976CA9" w:rsidRDefault="00976CA9" w:rsidP="00976CA9">
      <w:pPr>
        <w:jc w:val="both"/>
      </w:pPr>
      <w:r>
        <w:t xml:space="preserve">Dès le traitement du contrat, un courriel sera automatiquement envoyé à </w:t>
      </w:r>
      <w:proofErr w:type="gramStart"/>
      <w:r>
        <w:t>l’</w:t>
      </w:r>
      <w:proofErr w:type="spellStart"/>
      <w:r>
        <w:t>étudiant.e</w:t>
      </w:r>
      <w:proofErr w:type="spellEnd"/>
      <w:proofErr w:type="gramEnd"/>
      <w:r>
        <w:t xml:space="preserve"> (à son adresse courriel normalisé UQAM) pour lui demander d’approuver sont contrat. Cette étape est indispensable pour enclencher le processus de paiement.</w:t>
      </w:r>
    </w:p>
    <w:p w:rsidR="00B62FC1" w:rsidRDefault="00B62FC1" w:rsidP="00976CA9">
      <w:pPr>
        <w:jc w:val="both"/>
      </w:pPr>
      <w:r>
        <w:t xml:space="preserve">Pour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r>
        <w:t>étuidant.e</w:t>
      </w:r>
      <w:proofErr w:type="spellEnd"/>
      <w:r>
        <w:t xml:space="preserve"> </w:t>
      </w:r>
      <w:proofErr w:type="spellStart"/>
      <w:r>
        <w:t>inscrit.e</w:t>
      </w:r>
      <w:proofErr w:type="spellEnd"/>
      <w:r>
        <w:t xml:space="preserve"> dans une </w:t>
      </w:r>
      <w:r w:rsidR="00C74E4D">
        <w:t>autre université, une preuve de son inscription doit être transmise à la personne responsable aux RH (n’oubliez pas d’indiquer le numéro du formulaire d’embauche reçu dans votre courriel).</w:t>
      </w:r>
    </w:p>
    <w:p w:rsidR="00976CA9" w:rsidRPr="0019140C" w:rsidRDefault="00C74E4D" w:rsidP="00C74E4D">
      <w:pPr>
        <w:jc w:val="both"/>
      </w:pPr>
      <w:r>
        <w:t>Personne responsable aux RH, pour l’École des sciences de la gestion est M. François Campbell (</w:t>
      </w:r>
      <w:hyperlink r:id="rId16" w:history="1">
        <w:r w:rsidRPr="00AE1E5D">
          <w:rPr>
            <w:rStyle w:val="Lienhypertexte"/>
          </w:rPr>
          <w:t>campbell.francois</w:t>
        </w:r>
        <w:r w:rsidRPr="00AE1E5D">
          <w:rPr>
            <w:rStyle w:val="Lienhypertexte"/>
            <w:rFonts w:cstheme="minorHAnsi"/>
          </w:rPr>
          <w:t>@</w:t>
        </w:r>
        <w:r w:rsidRPr="00AE1E5D">
          <w:rPr>
            <w:rStyle w:val="Lienhypertexte"/>
          </w:rPr>
          <w:t>uqam.ca</w:t>
        </w:r>
      </w:hyperlink>
      <w:r>
        <w:t>).</w:t>
      </w:r>
      <w:r w:rsidRPr="0019140C">
        <w:t xml:space="preserve"> </w:t>
      </w:r>
    </w:p>
    <w:sectPr w:rsidR="00976CA9" w:rsidRPr="0019140C" w:rsidSect="00104030">
      <w:footerReference w:type="default" r:id="rId17"/>
      <w:pgSz w:w="12240" w:h="15840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4D" w:rsidRDefault="00C74E4D" w:rsidP="00C74E4D">
      <w:pPr>
        <w:spacing w:after="0" w:line="240" w:lineRule="auto"/>
      </w:pPr>
      <w:r>
        <w:separator/>
      </w:r>
    </w:p>
  </w:endnote>
  <w:endnote w:type="continuationSeparator" w:id="0">
    <w:p w:rsidR="00C74E4D" w:rsidRDefault="00C74E4D" w:rsidP="00C7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4D" w:rsidRPr="00C74E4D" w:rsidRDefault="00C74E4D" w:rsidP="00C74E4D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 xml:space="preserve">Dernière mise à jour </w:t>
    </w:r>
    <w:r w:rsidRPr="00C74E4D">
      <w:rPr>
        <w:sz w:val="16"/>
        <w:szCs w:val="16"/>
      </w:rPr>
      <w:t>2022-06-09</w:t>
    </w:r>
  </w:p>
  <w:p w:rsidR="00C74E4D" w:rsidRDefault="00C74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4D" w:rsidRDefault="00C74E4D" w:rsidP="00C74E4D">
      <w:pPr>
        <w:spacing w:after="0" w:line="240" w:lineRule="auto"/>
      </w:pPr>
      <w:r>
        <w:separator/>
      </w:r>
    </w:p>
  </w:footnote>
  <w:footnote w:type="continuationSeparator" w:id="0">
    <w:p w:rsidR="00C74E4D" w:rsidRDefault="00C74E4D" w:rsidP="00C7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2362"/>
    <w:multiLevelType w:val="hybridMultilevel"/>
    <w:tmpl w:val="21F4E7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CB"/>
    <w:rsid w:val="00104030"/>
    <w:rsid w:val="0019140C"/>
    <w:rsid w:val="00257C49"/>
    <w:rsid w:val="00640B4B"/>
    <w:rsid w:val="00913ECB"/>
    <w:rsid w:val="00966B13"/>
    <w:rsid w:val="00976CA9"/>
    <w:rsid w:val="00B62FC1"/>
    <w:rsid w:val="00C74E4D"/>
    <w:rsid w:val="00E15511"/>
    <w:rsid w:val="00F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2BD2"/>
  <w15:chartTrackingRefBased/>
  <w15:docId w15:val="{1FA99454-4487-4135-9103-6776517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3EC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4E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E4D"/>
  </w:style>
  <w:style w:type="paragraph" w:styleId="Pieddepage">
    <w:name w:val="footer"/>
    <w:basedOn w:val="Normal"/>
    <w:link w:val="PieddepageCar"/>
    <w:uiPriority w:val="99"/>
    <w:unhideWhenUsed/>
    <w:rsid w:val="00C74E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E4D"/>
  </w:style>
  <w:style w:type="paragraph" w:styleId="Paragraphedeliste">
    <w:name w:val="List Paragraph"/>
    <w:basedOn w:val="Normal"/>
    <w:uiPriority w:val="34"/>
    <w:qFormat/>
    <w:rsid w:val="00640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hu.uqam.ca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ampbell.francois@uqam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Deveaux, Johanne</dc:creator>
  <cp:keywords/>
  <dc:description/>
  <cp:lastModifiedBy>Deveaux, Johanne</cp:lastModifiedBy>
  <cp:revision>5</cp:revision>
  <dcterms:created xsi:type="dcterms:W3CDTF">2022-06-09T13:39:00Z</dcterms:created>
  <dcterms:modified xsi:type="dcterms:W3CDTF">2022-07-14T19:36:00Z</dcterms:modified>
</cp:coreProperties>
</file>